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黑体" w:hAnsi="黑体" w:eastAsia="黑体" w:cs="Times New Roman"/>
          <w:color w:val="000000"/>
          <w:sz w:val="36"/>
          <w:szCs w:val="20"/>
        </w:rPr>
      </w:pPr>
      <w:bookmarkStart w:id="5" w:name="_GoBack"/>
      <w:bookmarkEnd w:id="5"/>
      <w:bookmarkStart w:id="0" w:name="_知情同意报奖证明（参考模板）"/>
      <w:bookmarkEnd w:id="0"/>
      <w:bookmarkStart w:id="1" w:name="_Toc1864797644"/>
      <w:bookmarkStart w:id="2" w:name="_Toc30301"/>
      <w:bookmarkStart w:id="3" w:name="_重庆市科学技术奖提名公示内容"/>
      <w:bookmarkStart w:id="4" w:name="_Toc530473016"/>
      <w:r>
        <w:rPr>
          <w:rFonts w:hint="eastAsia" w:ascii="黑体" w:hAnsi="黑体" w:eastAsia="黑体"/>
          <w:color w:val="000000"/>
          <w:sz w:val="36"/>
        </w:rPr>
        <w:t>提名2023年度重庆市科学技术奖项目公示内容</w:t>
      </w:r>
    </w:p>
    <w:bookmarkEnd w:id="1"/>
    <w:bookmarkEnd w:id="2"/>
    <w:bookmarkEnd w:id="3"/>
    <w:bookmarkEnd w:id="4"/>
    <w:p>
      <w:pPr>
        <w:spacing w:line="360" w:lineRule="auto"/>
        <w:rPr>
          <w:rFonts w:ascii="宋体" w:hAnsi="宋体" w:eastAsia="宋体"/>
          <w:b/>
          <w:sz w:val="24"/>
          <w:szCs w:val="32"/>
        </w:rPr>
      </w:pP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一、项目名称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西南地区隧道施工高效监测预警关键技术与应用</w:t>
      </w: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二、提名者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重庆市教育委员会</w:t>
      </w: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三、提名等级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科技进步奖二等奖</w:t>
      </w: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四、项目简介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西南地区地质复杂，隧道工程建设频遇不良地质，施工环境恶劣，传统监测内容、监测方法、监测结果时效无法适应现阶段隧道安全快速施工需求，导致隧道施工风险无法精准识别与预测，严重制约隧道施工安全保障和效率提升。因此，为适应新时代隧道工程安全高效施工，突破传统隧道监测技术瓶颈，项目组历时10余年，系统开展了“西南地区隧道施工高效监测预警关键技术与应用”的研究，主要创新成果如下：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(1)提出了西南地区隧道工程不良地质高效预报方法，建立了围岩失稳与支护结构力学状态实时监测系统，构建了隧道施工期风险源识别体系。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(2)研发了可重复使用、可任意调节角度的标靶装置体系，建立了基于标靶识别的隧道监控量测方法，构建了基于三维激光扫描的围岩变形自动识别技术。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(3)研发了自启动、多终端非连续数据自动识别、自动采集和故障自动诊断与恢复的采集系统，开发了隧道施工安全监测智能预警信息化平台。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研究成果已成功应用于重庆、四川、云南、贵州等省市的隧道工程，经济社会效益显著，推广应用前景广阔。</w:t>
      </w: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五、主要知识产权目录</w:t>
      </w:r>
    </w:p>
    <w:tbl>
      <w:tblPr>
        <w:tblStyle w:val="5"/>
        <w:tblW w:w="8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4"/>
        <w:gridCol w:w="1701"/>
        <w:gridCol w:w="709"/>
        <w:gridCol w:w="850"/>
        <w:gridCol w:w="709"/>
        <w:gridCol w:w="1350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知识产权类别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知识产权</w:t>
            </w:r>
          </w:p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具体名称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家</w:t>
            </w: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地</w:t>
            </w:r>
            <w:r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  <w:t>区）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授权号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授权</w:t>
            </w:r>
          </w:p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权利人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一种重力式地下空洞自动化监测报警方法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ZL202110027675.5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2021.03.22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湖南联智科技股份有限公司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曾雄鹰；梁晓东；文言；杨彦恒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基于声发射的开挖隧道围岩破裂失稳监测方法及系统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ZL202211628988.7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2023.03.21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湖南联智科技股份有限公司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王佳龙；曾雄鹰；杨承昆；吴勇生；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一种基于标靶识别的隧道监控量测方法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ZL202111573046.9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2023.09.29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中国铁路设计集团有限公司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湖南联智科技股份有限公司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苏伟；郑荣政；李瑶；杨承昆；禚一；李艳；吴勇生；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隧道预支护壳体内力及其背后土压力实时监测系统及方法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ZL202110358317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2022.09.02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刘士洋；张学富；周元辅；韩风雷；丁燕平；刘真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基于三维激光扫描的隧道监控方法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ZL201710135845.5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2018.11.20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中交第二航务工程局有限公司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张永涛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陈培帅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杨钊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冯德定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江鸿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基于毫米波雷达的隧道变形实时监测方法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ZL201910844123.6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2020.12.11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中交第二航务工程局有限公司；中交公路长大桥建设国家工程研究中心有限公司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翟世鸿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吴忠仕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陈培帅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隧道围岩位移监测测点装置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ZL201710023853.0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2023.01.17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周元铺；周元江；张学富；周子寒；刘士洋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隧道围岩中地下水流速测试装置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ZL201710023854.5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2023.06.13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周元铺；张学富；丁燕平；张斌；刘士洋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基于三维激光扫描的隧道施工初支侵限监测分析预警方法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ZL201610118332.9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2018.03.16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中交第二航务工程局有限公司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中交武汉智行国际工程咨询有限公司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田唯；杨钊；陈培帅；等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一种基于多图融合的隧道瓦斯浓度预测方法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ZL202211526693.9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2023.1013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中咨公路养护检测技术有限公司；中国公路工程咨询集团有限公司；中咨数据有限公司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</w:rPr>
              <w:t>张艳红；侯芸；董元帅；姜宏维；等</w:t>
            </w:r>
          </w:p>
        </w:tc>
      </w:tr>
    </w:tbl>
    <w:p>
      <w:pPr>
        <w:pStyle w:val="7"/>
        <w:snapToGrid w:val="0"/>
        <w:spacing w:before="312" w:beforeLines="100" w:after="156" w:afterLines="50" w:line="400" w:lineRule="exact"/>
        <w:ind w:firstLine="0" w:firstLineChars="0"/>
        <w:jc w:val="left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六、主要完成人</w:t>
      </w:r>
    </w:p>
    <w:p>
      <w:pPr>
        <w:spacing w:line="360" w:lineRule="auto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周元辅、姜宏维、陈培帅、曾雄鹰、刘士洋、郝艳广、蒙伟、姬付全、吴勇生、汪振伟</w:t>
      </w:r>
    </w:p>
    <w:p>
      <w:pPr>
        <w:pStyle w:val="7"/>
        <w:snapToGrid w:val="0"/>
        <w:spacing w:before="312" w:beforeLines="100" w:after="156" w:afterLines="50" w:line="400" w:lineRule="exact"/>
        <w:ind w:firstLine="0" w:firstLineChars="0"/>
        <w:jc w:val="left"/>
        <w:outlineLvl w:val="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七、主要完成单位</w:t>
      </w:r>
    </w:p>
    <w:p>
      <w:pPr>
        <w:spacing w:line="360" w:lineRule="auto"/>
        <w:ind w:firstLine="480" w:firstLineChars="200"/>
        <w:rPr>
          <w:rFonts w:ascii="Times New Roman" w:hAnsi="Times New Roman" w:eastAsia="仿宋" w:cs="仿宋"/>
          <w:bCs/>
          <w:sz w:val="24"/>
          <w:szCs w:val="32"/>
        </w:rPr>
      </w:pPr>
      <w:r>
        <w:rPr>
          <w:rFonts w:hint="eastAsia" w:ascii="Times New Roman" w:hAnsi="Times New Roman" w:eastAsia="仿宋" w:cs="仿宋"/>
          <w:bCs/>
          <w:sz w:val="24"/>
          <w:szCs w:val="32"/>
        </w:rPr>
        <w:t>重庆交通大学、中国公路工程咨询集团有限公司、中交第二航务工程局有限公司、湖南联智科技股份有限公司、中交二航局建筑科技有限公司、中咨公路养护检测技术有限公司、中铁二院工程集团有限责任公司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